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10" w:rsidRPr="004E263F" w:rsidRDefault="00ED3910" w:rsidP="00791B97">
      <w:pPr>
        <w:spacing w:after="0"/>
        <w:jc w:val="center"/>
        <w:rPr>
          <w:rFonts w:ascii="David" w:hAnsi="David" w:cs="David"/>
          <w:b/>
          <w:bCs/>
          <w:sz w:val="24"/>
          <w:szCs w:val="24"/>
          <w:u w:val="single"/>
          <w:rtl/>
        </w:rPr>
      </w:pPr>
      <w:bookmarkStart w:id="0" w:name="_GoBack"/>
      <w:bookmarkEnd w:id="0"/>
      <w:r w:rsidRPr="004E263F">
        <w:rPr>
          <w:rFonts w:ascii="David" w:hAnsi="David" w:cs="David"/>
          <w:b/>
          <w:bCs/>
          <w:sz w:val="24"/>
          <w:szCs w:val="24"/>
          <w:u w:val="single"/>
          <w:rtl/>
        </w:rPr>
        <w:t>תביעת שלום בית</w:t>
      </w:r>
      <w:r w:rsidRPr="004E263F">
        <w:rPr>
          <w:rFonts w:ascii="David" w:hAnsi="David" w:cs="David" w:hint="cs"/>
          <w:b/>
          <w:bCs/>
          <w:sz w:val="24"/>
          <w:szCs w:val="24"/>
          <w:u w:val="single"/>
          <w:rtl/>
        </w:rPr>
        <w:t xml:space="preserve"> </w:t>
      </w:r>
    </w:p>
    <w:p w:rsidR="00791B97" w:rsidRPr="004E263F" w:rsidRDefault="00791B97" w:rsidP="00791B97">
      <w:pPr>
        <w:spacing w:after="0"/>
        <w:jc w:val="center"/>
        <w:rPr>
          <w:rFonts w:ascii="David" w:hAnsi="David" w:cs="David"/>
          <w:b/>
          <w:bCs/>
          <w:sz w:val="24"/>
          <w:szCs w:val="24"/>
          <w:u w:val="single"/>
          <w:rtl/>
        </w:rPr>
      </w:pPr>
      <w:r w:rsidRPr="004E263F">
        <w:rPr>
          <w:rFonts w:ascii="David" w:hAnsi="David" w:cs="David" w:hint="cs"/>
          <w:b/>
          <w:bCs/>
          <w:sz w:val="24"/>
          <w:szCs w:val="24"/>
          <w:u w:val="single"/>
          <w:rtl/>
        </w:rPr>
        <w:t>מאמר שני בסדרה</w:t>
      </w:r>
    </w:p>
    <w:p w:rsidR="00ED3910" w:rsidRPr="004E263F" w:rsidRDefault="00ED3910" w:rsidP="00ED3910">
      <w:pPr>
        <w:spacing w:line="360" w:lineRule="auto"/>
        <w:jc w:val="center"/>
        <w:rPr>
          <w:rFonts w:ascii="David" w:eastAsia="Calibri" w:hAnsi="David" w:cs="David"/>
          <w:b/>
          <w:bCs/>
          <w:sz w:val="24"/>
          <w:szCs w:val="24"/>
          <w:u w:val="single"/>
          <w:rtl/>
        </w:rPr>
      </w:pPr>
      <w:r w:rsidRPr="004E263F">
        <w:rPr>
          <w:rFonts w:ascii="Times New Roman" w:eastAsia="Times New Roman" w:hAnsi="Times New Roman" w:cs="David" w:hint="cs"/>
          <w:sz w:val="24"/>
          <w:szCs w:val="24"/>
          <w:rtl/>
        </w:rPr>
        <w:t>מאת: טו"ר צבי גלר, ראש לשכת הטוענים הרבניים וטו"ר הרב נדב טייכמן</w:t>
      </w:r>
    </w:p>
    <w:p w:rsidR="00ED3910" w:rsidRPr="004E263F" w:rsidRDefault="00ED3910" w:rsidP="005C2750">
      <w:pPr>
        <w:spacing w:line="360" w:lineRule="auto"/>
        <w:jc w:val="both"/>
        <w:rPr>
          <w:rFonts w:asciiTheme="majorBidi" w:eastAsia="Calibri" w:hAnsiTheme="majorBidi" w:cstheme="majorBidi"/>
          <w:sz w:val="24"/>
          <w:szCs w:val="24"/>
          <w:rtl/>
        </w:rPr>
      </w:pPr>
      <w:r w:rsidRPr="004E263F">
        <w:rPr>
          <w:rFonts w:asciiTheme="majorBidi" w:eastAsia="Calibri" w:hAnsiTheme="majorBidi" w:cstheme="majorBidi"/>
          <w:sz w:val="24"/>
          <w:szCs w:val="24"/>
          <w:rtl/>
        </w:rPr>
        <w:t xml:space="preserve">בחלקו הראשון של המאמר הצגנו שתי גישות בהבנת מהותה של תביעת שלו"ב. הגישה האחת היא הגישה המעשית הרואה תביעה זו כמי שמטרתה להביא את הצדדים </w:t>
      </w:r>
      <w:r w:rsidR="004E263F">
        <w:rPr>
          <w:rFonts w:asciiTheme="majorBidi" w:eastAsia="Calibri" w:hAnsiTheme="majorBidi" w:cstheme="majorBidi" w:hint="cs"/>
          <w:sz w:val="24"/>
          <w:szCs w:val="24"/>
          <w:rtl/>
        </w:rPr>
        <w:t>ל</w:t>
      </w:r>
      <w:r w:rsidRPr="004E263F">
        <w:rPr>
          <w:rFonts w:asciiTheme="majorBidi" w:eastAsia="Calibri" w:hAnsiTheme="majorBidi" w:cstheme="majorBidi"/>
          <w:sz w:val="24"/>
          <w:szCs w:val="24"/>
          <w:rtl/>
        </w:rPr>
        <w:t xml:space="preserve">חזרה </w:t>
      </w:r>
      <w:r w:rsidR="00512359" w:rsidRPr="004E263F">
        <w:rPr>
          <w:rFonts w:asciiTheme="majorBidi" w:eastAsia="Calibri" w:hAnsiTheme="majorBidi" w:cstheme="majorBidi"/>
          <w:b/>
          <w:bCs/>
          <w:sz w:val="24"/>
          <w:szCs w:val="24"/>
          <w:rtl/>
        </w:rPr>
        <w:t>בפועל</w:t>
      </w:r>
      <w:r w:rsidR="00512359" w:rsidRPr="004E263F">
        <w:rPr>
          <w:rFonts w:asciiTheme="majorBidi" w:eastAsia="Calibri" w:hAnsiTheme="majorBidi" w:cstheme="majorBidi"/>
          <w:sz w:val="24"/>
          <w:szCs w:val="24"/>
          <w:rtl/>
        </w:rPr>
        <w:t xml:space="preserve"> </w:t>
      </w:r>
      <w:r w:rsidRPr="004E263F">
        <w:rPr>
          <w:rFonts w:asciiTheme="majorBidi" w:eastAsia="Calibri" w:hAnsiTheme="majorBidi" w:cstheme="majorBidi"/>
          <w:sz w:val="24"/>
          <w:szCs w:val="24"/>
          <w:rtl/>
        </w:rPr>
        <w:t xml:space="preserve">לחיים משותפים. הגישה </w:t>
      </w:r>
      <w:r w:rsidR="00512359" w:rsidRPr="004E263F">
        <w:rPr>
          <w:rFonts w:asciiTheme="majorBidi" w:eastAsia="Calibri" w:hAnsiTheme="majorBidi" w:cstheme="majorBidi"/>
          <w:sz w:val="24"/>
          <w:szCs w:val="24"/>
          <w:rtl/>
        </w:rPr>
        <w:t>השנייה</w:t>
      </w:r>
      <w:r w:rsidRPr="004E263F">
        <w:rPr>
          <w:rFonts w:asciiTheme="majorBidi" w:eastAsia="Calibri" w:hAnsiTheme="majorBidi" w:cstheme="majorBidi"/>
          <w:sz w:val="24"/>
          <w:szCs w:val="24"/>
          <w:rtl/>
        </w:rPr>
        <w:t xml:space="preserve"> רואה את תביעת שלו"ב כתביעה לשמירת מצב קיים ושמירה על זכויותיו של הצד המבקש. </w:t>
      </w:r>
      <w:r w:rsidR="005C2750" w:rsidRPr="004E263F">
        <w:rPr>
          <w:rFonts w:asciiTheme="majorBidi" w:eastAsia="Calibri" w:hAnsiTheme="majorBidi" w:cstheme="majorBidi"/>
          <w:sz w:val="24"/>
          <w:szCs w:val="24"/>
          <w:rtl/>
        </w:rPr>
        <w:t xml:space="preserve"> </w:t>
      </w:r>
      <w:r w:rsidRPr="004E263F">
        <w:rPr>
          <w:rFonts w:asciiTheme="majorBidi" w:eastAsia="Calibri" w:hAnsiTheme="majorBidi" w:cstheme="majorBidi"/>
          <w:sz w:val="24"/>
          <w:szCs w:val="24"/>
          <w:rtl/>
        </w:rPr>
        <w:t>בחלק זה נעסוק בהשלכות המעשיות הנובעות מהגישות השונות</w:t>
      </w:r>
      <w:r w:rsidR="005C2750" w:rsidRPr="004E263F">
        <w:rPr>
          <w:rFonts w:asciiTheme="majorBidi" w:eastAsia="Calibri" w:hAnsiTheme="majorBidi" w:cstheme="majorBidi"/>
          <w:sz w:val="24"/>
          <w:szCs w:val="24"/>
          <w:rtl/>
        </w:rPr>
        <w:t>:</w:t>
      </w:r>
      <w:r w:rsidRPr="004E263F">
        <w:rPr>
          <w:rFonts w:asciiTheme="majorBidi" w:eastAsia="Calibri" w:hAnsiTheme="majorBidi" w:cstheme="majorBidi"/>
          <w:sz w:val="24"/>
          <w:szCs w:val="24"/>
          <w:rtl/>
        </w:rPr>
        <w:t xml:space="preserve"> </w:t>
      </w:r>
    </w:p>
    <w:p w:rsidR="00ED3910" w:rsidRPr="004E263F" w:rsidRDefault="00ED3910" w:rsidP="00ED3910">
      <w:pPr>
        <w:spacing w:after="0" w:line="360" w:lineRule="auto"/>
        <w:jc w:val="both"/>
        <w:rPr>
          <w:rFonts w:asciiTheme="majorBidi" w:hAnsiTheme="majorBidi" w:cstheme="majorBidi"/>
          <w:b/>
          <w:bCs/>
          <w:sz w:val="24"/>
          <w:szCs w:val="24"/>
          <w:u w:val="single"/>
          <w:rtl/>
        </w:rPr>
      </w:pPr>
      <w:r w:rsidRPr="004E263F">
        <w:rPr>
          <w:rFonts w:asciiTheme="majorBidi" w:hAnsiTheme="majorBidi" w:cstheme="majorBidi"/>
          <w:b/>
          <w:bCs/>
          <w:sz w:val="24"/>
          <w:szCs w:val="24"/>
          <w:u w:val="single"/>
          <w:rtl/>
        </w:rPr>
        <w:t>כאשר אין היתכנות מעשית לשלו"ב</w:t>
      </w:r>
      <w:r w:rsidR="005C2750" w:rsidRPr="004E263F">
        <w:rPr>
          <w:rFonts w:asciiTheme="majorBidi" w:hAnsiTheme="majorBidi" w:cstheme="majorBidi"/>
          <w:b/>
          <w:bCs/>
          <w:sz w:val="24"/>
          <w:szCs w:val="24"/>
          <w:u w:val="single"/>
          <w:rtl/>
        </w:rPr>
        <w:t xml:space="preserve"> – האם תתקבל תביעה לשלום בית</w:t>
      </w:r>
    </w:p>
    <w:p w:rsidR="00ED3910" w:rsidRPr="004E263F" w:rsidRDefault="00ED3910" w:rsidP="00791B97">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ההבדל המהותי בין התפיסות השונות הוא האם התביעה מעשית או הצהרתית</w:t>
      </w:r>
      <w:r w:rsidR="00791B97" w:rsidRPr="004E263F">
        <w:rPr>
          <w:rFonts w:asciiTheme="majorBidi" w:hAnsiTheme="majorBidi" w:cstheme="majorBidi"/>
          <w:sz w:val="24"/>
          <w:szCs w:val="24"/>
          <w:rtl/>
        </w:rPr>
        <w:t xml:space="preserve"> ו</w:t>
      </w:r>
      <w:r w:rsidRPr="004E263F">
        <w:rPr>
          <w:rFonts w:asciiTheme="majorBidi" w:hAnsiTheme="majorBidi" w:cstheme="majorBidi"/>
          <w:sz w:val="24"/>
          <w:szCs w:val="24"/>
          <w:rtl/>
        </w:rPr>
        <w:t xml:space="preserve">הנפקות העיקרית בין הגישות תהיה במקום שהתביעה אינה ישימה. הרב מייזלס (תיק אזורי מס' 872663/1), סובר ששלו"ב הינה </w:t>
      </w:r>
      <w:r w:rsidR="005C2750" w:rsidRPr="004E263F">
        <w:rPr>
          <w:rFonts w:asciiTheme="majorBidi" w:hAnsiTheme="majorBidi" w:cstheme="majorBidi"/>
          <w:sz w:val="24"/>
          <w:szCs w:val="24"/>
          <w:rtl/>
        </w:rPr>
        <w:t>"</w:t>
      </w:r>
      <w:r w:rsidRPr="004E263F">
        <w:rPr>
          <w:rFonts w:asciiTheme="majorBidi" w:hAnsiTheme="majorBidi" w:cstheme="majorBidi"/>
          <w:sz w:val="24"/>
          <w:szCs w:val="24"/>
          <w:rtl/>
        </w:rPr>
        <w:t>תביעה מעשית</w:t>
      </w:r>
      <w:r w:rsidR="005C2750" w:rsidRPr="004E263F">
        <w:rPr>
          <w:rFonts w:asciiTheme="majorBidi" w:hAnsiTheme="majorBidi" w:cstheme="majorBidi"/>
          <w:sz w:val="24"/>
          <w:szCs w:val="24"/>
          <w:rtl/>
        </w:rPr>
        <w:t>"</w:t>
      </w:r>
      <w:r w:rsidRPr="004E263F">
        <w:rPr>
          <w:rFonts w:asciiTheme="majorBidi" w:hAnsiTheme="majorBidi" w:cstheme="majorBidi"/>
          <w:sz w:val="24"/>
          <w:szCs w:val="24"/>
          <w:rtl/>
        </w:rPr>
        <w:t xml:space="preserve"> לכן ככל שאנו מתרשמים שהצד שאינו מעוניין בשלו"ב נחרץ בסירובו לא תהיה לביה"ד ברירה אלא לדחות את התביעה. </w:t>
      </w:r>
    </w:p>
    <w:p w:rsidR="00435550" w:rsidRPr="004E263F" w:rsidRDefault="00435550" w:rsidP="00791B97">
      <w:pPr>
        <w:spacing w:after="0" w:line="360" w:lineRule="auto"/>
        <w:jc w:val="both"/>
        <w:rPr>
          <w:rFonts w:asciiTheme="majorBidi" w:hAnsiTheme="majorBidi" w:cstheme="majorBidi"/>
          <w:sz w:val="24"/>
          <w:szCs w:val="24"/>
        </w:rPr>
      </w:pPr>
      <w:r w:rsidRPr="004E263F">
        <w:rPr>
          <w:rFonts w:asciiTheme="majorBidi" w:hAnsiTheme="majorBidi" w:cstheme="majorBidi"/>
          <w:sz w:val="24"/>
          <w:szCs w:val="24"/>
          <w:rtl/>
        </w:rPr>
        <w:t>בתיק 1160838/4  כתב האב"ד:  "במישור המעשי, ברור שאין סיכוי לכונן במקרה זה שלום בית, כאשר כל מכריהם של בני הזוג מודעים למשבר הזוגי ולהליכים שביניהם, כשבנוסף ק</w:t>
      </w:r>
      <w:r w:rsidR="00791B97" w:rsidRPr="004E263F">
        <w:rPr>
          <w:rFonts w:asciiTheme="majorBidi" w:hAnsiTheme="majorBidi" w:cstheme="majorBidi"/>
          <w:sz w:val="24"/>
          <w:szCs w:val="24"/>
          <w:rtl/>
        </w:rPr>
        <w:t>יימת איבה עמוקה ביותר מצד הבעל...</w:t>
      </w:r>
      <w:r w:rsidRPr="004E263F">
        <w:rPr>
          <w:rFonts w:asciiTheme="majorBidi" w:hAnsiTheme="majorBidi" w:cstheme="majorBidi"/>
          <w:sz w:val="24"/>
          <w:szCs w:val="24"/>
          <w:rtl/>
        </w:rPr>
        <w:t xml:space="preserve"> מי פתי יאמין כי יכונן ביניהם שלום בית?" כלומר למרות שאין שום עילה לגירושין ידחה האב"ד את תביעת שלום הבית של האשה. </w:t>
      </w:r>
    </w:p>
    <w:p w:rsidR="00ED3910" w:rsidRPr="004E263F" w:rsidRDefault="00435550" w:rsidP="00791B97">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 xml:space="preserve">לעומתו: </w:t>
      </w:r>
      <w:r w:rsidR="00ED3910" w:rsidRPr="004E263F">
        <w:rPr>
          <w:rFonts w:asciiTheme="majorBidi" w:hAnsiTheme="majorBidi" w:cstheme="majorBidi"/>
          <w:sz w:val="24"/>
          <w:szCs w:val="24"/>
          <w:rtl/>
        </w:rPr>
        <w:t xml:space="preserve">הרב שפירא (בתיק הנ"ל וחזר על כך ביושבו בביה"ד הגדול  בתיק מס' 1254104/2) </w:t>
      </w:r>
      <w:r w:rsidRPr="004E263F">
        <w:rPr>
          <w:rFonts w:asciiTheme="majorBidi" w:hAnsiTheme="majorBidi" w:cstheme="majorBidi"/>
          <w:sz w:val="24"/>
          <w:szCs w:val="24"/>
          <w:rtl/>
        </w:rPr>
        <w:t xml:space="preserve">קובע: </w:t>
      </w:r>
      <w:r w:rsidR="00ED3910" w:rsidRPr="004E263F">
        <w:rPr>
          <w:rFonts w:asciiTheme="majorBidi" w:hAnsiTheme="majorBidi" w:cstheme="majorBidi"/>
          <w:sz w:val="24"/>
          <w:szCs w:val="24"/>
          <w:rtl/>
        </w:rPr>
        <w:t xml:space="preserve"> שבשלב ראשון מוטל על ביה"ד לבדוק האם התביעה צודקת או לא ואם היא צודקת, הרי שהיא תישאר צודקת גם אם הצד השני מסרב בנחרצות לחזור לשלו"ב וכך הוא כותב:</w:t>
      </w:r>
    </w:p>
    <w:p w:rsidR="00ED3910" w:rsidRPr="004E263F" w:rsidRDefault="00ED3910" w:rsidP="00A91AEB">
      <w:pPr>
        <w:spacing w:after="0" w:line="360" w:lineRule="auto"/>
        <w:ind w:left="720"/>
        <w:jc w:val="both"/>
        <w:rPr>
          <w:rFonts w:asciiTheme="majorBidi" w:hAnsiTheme="majorBidi" w:cstheme="majorBidi"/>
          <w:sz w:val="24"/>
          <w:szCs w:val="24"/>
          <w:rtl/>
        </w:rPr>
      </w:pPr>
      <w:r w:rsidRPr="004E263F">
        <w:rPr>
          <w:rFonts w:asciiTheme="majorBidi" w:hAnsiTheme="majorBidi" w:cstheme="majorBidi"/>
          <w:sz w:val="24"/>
          <w:szCs w:val="24"/>
          <w:rtl/>
        </w:rPr>
        <w:t>בתביעה לשלום בית עלינו לבחון את התביעה כשלעצמה אם התביעה צודקת או אינה צודקת ורק אחר כך עלינו לבחון אם יש סיכויים שיהיה שלום בית במקרה הנדון לפנינו. נחרצות הצד המתנגד לחזור לשלום בית אינה מעלה ואינה מורדת לעניין עצם הקביעה אם התביעה לשלום בית צודקת, ואם נקבע שהתביעה לשלום בית צודקת היא תישאר צודקת למרות סירוב הצד השני לה</w:t>
      </w:r>
      <w:r w:rsidR="001D4DE0" w:rsidRPr="004E263F">
        <w:rPr>
          <w:rFonts w:asciiTheme="majorBidi" w:hAnsiTheme="majorBidi" w:cstheme="majorBidi" w:hint="cs"/>
          <w:sz w:val="24"/>
          <w:szCs w:val="24"/>
          <w:rtl/>
        </w:rPr>
        <w:t>י</w:t>
      </w:r>
      <w:r w:rsidRPr="004E263F">
        <w:rPr>
          <w:rFonts w:asciiTheme="majorBidi" w:hAnsiTheme="majorBidi" w:cstheme="majorBidi"/>
          <w:sz w:val="24"/>
          <w:szCs w:val="24"/>
          <w:rtl/>
        </w:rPr>
        <w:t>ענות לתביעה זו.</w:t>
      </w:r>
    </w:p>
    <w:p w:rsidR="00ED3910" w:rsidRPr="004E263F" w:rsidRDefault="00435550" w:rsidP="00A91AEB">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הרב שפירא</w:t>
      </w:r>
      <w:r w:rsidR="00ED3910" w:rsidRPr="004E263F">
        <w:rPr>
          <w:rFonts w:asciiTheme="majorBidi" w:hAnsiTheme="majorBidi" w:cstheme="majorBidi"/>
          <w:sz w:val="24"/>
          <w:szCs w:val="24"/>
          <w:rtl/>
        </w:rPr>
        <w:t xml:space="preserve"> יוצא בחריפות נגד הקביעה שאם אין היתכנות מעשית לשלו"ב הרי שדינה של התביעה להידחות. הוא מחלק בין סעד של מדור ספציפי ועיקול על כספי מכירת הדירה שאלו סעדים שמטרתם לאפשר להחזיר את שלו"ב על כנו וכאשר ברור ששלו"ב איננו מעשי הרי שאין טעם בסעדים אלו. אולם גם במקום שאין היתכנות לשלו"ב אין זו סיבה לדחות את התביעה</w:t>
      </w:r>
      <w:r w:rsidR="00A91AEB">
        <w:rPr>
          <w:rFonts w:asciiTheme="majorBidi" w:hAnsiTheme="majorBidi" w:cstheme="majorBidi" w:hint="cs"/>
          <w:sz w:val="24"/>
          <w:szCs w:val="24"/>
          <w:rtl/>
        </w:rPr>
        <w:t xml:space="preserve">, </w:t>
      </w:r>
      <w:r w:rsidR="00ED3910" w:rsidRPr="004E263F">
        <w:rPr>
          <w:rFonts w:asciiTheme="majorBidi" w:hAnsiTheme="majorBidi" w:cstheme="majorBidi"/>
          <w:sz w:val="24"/>
          <w:szCs w:val="24"/>
          <w:rtl/>
        </w:rPr>
        <w:t>לחייב בגירושין ולהפסיד לאשה מזונות ותוספת כתובה.</w:t>
      </w:r>
    </w:p>
    <w:p w:rsidR="00ED3910" w:rsidRPr="004E263F" w:rsidRDefault="00435550" w:rsidP="00A91AEB">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הפתרון</w:t>
      </w:r>
      <w:r w:rsidR="00ED3910" w:rsidRPr="004E263F">
        <w:rPr>
          <w:rFonts w:asciiTheme="majorBidi" w:hAnsiTheme="majorBidi" w:cstheme="majorBidi"/>
          <w:sz w:val="24"/>
          <w:szCs w:val="24"/>
          <w:rtl/>
        </w:rPr>
        <w:t xml:space="preserve"> לכך</w:t>
      </w:r>
      <w:r w:rsidR="00CC45A4" w:rsidRPr="004E263F">
        <w:rPr>
          <w:rFonts w:asciiTheme="majorBidi" w:hAnsiTheme="majorBidi" w:cstheme="majorBidi"/>
          <w:sz w:val="24"/>
          <w:szCs w:val="24"/>
          <w:rtl/>
        </w:rPr>
        <w:t xml:space="preserve"> שצד אחד רוצה להתגרש וצד שני מתנגד נחרצות, </w:t>
      </w:r>
      <w:r w:rsidR="00ED3910" w:rsidRPr="004E263F">
        <w:rPr>
          <w:rFonts w:asciiTheme="majorBidi" w:hAnsiTheme="majorBidi" w:cstheme="majorBidi"/>
          <w:sz w:val="24"/>
          <w:szCs w:val="24"/>
          <w:rtl/>
        </w:rPr>
        <w:t>הוא פיצוי הולם לצד הרוצה שלו"ב מבלי לקזזו מזכויות שאינן ע"פ דין תורה:</w:t>
      </w:r>
    </w:p>
    <w:p w:rsidR="00ED3910" w:rsidRPr="004E263F" w:rsidRDefault="00CC45A4" w:rsidP="00ED3910">
      <w:pPr>
        <w:spacing w:after="0" w:line="360" w:lineRule="auto"/>
        <w:ind w:left="720"/>
        <w:jc w:val="both"/>
        <w:rPr>
          <w:rFonts w:asciiTheme="majorBidi" w:hAnsiTheme="majorBidi" w:cstheme="majorBidi"/>
          <w:sz w:val="24"/>
          <w:szCs w:val="24"/>
          <w:rtl/>
        </w:rPr>
      </w:pPr>
      <w:r w:rsidRPr="004E263F">
        <w:rPr>
          <w:rFonts w:asciiTheme="majorBidi" w:hAnsiTheme="majorBidi" w:cstheme="majorBidi"/>
          <w:sz w:val="24"/>
          <w:szCs w:val="24"/>
          <w:rtl/>
        </w:rPr>
        <w:t>"</w:t>
      </w:r>
      <w:r w:rsidR="00ED3910" w:rsidRPr="004E263F">
        <w:rPr>
          <w:rFonts w:asciiTheme="majorBidi" w:hAnsiTheme="majorBidi" w:cstheme="majorBidi"/>
          <w:sz w:val="24"/>
          <w:szCs w:val="24"/>
          <w:rtl/>
        </w:rPr>
        <w:t>במקרים אלו חובת בית הדין לשקול להתערב ולהמליץ על גירושין תוך קביעת פיצוי נאות (לא סמלי) לטובת הצד הנפגע, ובזה חלה חובה על בית הדין להשתדל מצד תקנת הציבור, אף כשהלכתית אין מקום לקבל את התביעה לגירושין.</w:t>
      </w:r>
    </w:p>
    <w:p w:rsidR="00ED3910" w:rsidRPr="004E263F" w:rsidRDefault="00ED3910" w:rsidP="00ED3910">
      <w:pPr>
        <w:keepNext/>
        <w:keepLines/>
        <w:spacing w:before="40" w:after="0"/>
        <w:outlineLvl w:val="2"/>
        <w:rPr>
          <w:rFonts w:asciiTheme="majorBidi" w:eastAsiaTheme="majorEastAsia" w:hAnsiTheme="majorBidi" w:cstheme="majorBidi"/>
          <w:b/>
          <w:bCs/>
          <w:i/>
          <w:iCs/>
          <w:sz w:val="24"/>
          <w:szCs w:val="24"/>
          <w:u w:val="single"/>
          <w:rtl/>
        </w:rPr>
      </w:pPr>
    </w:p>
    <w:p w:rsidR="00ED3910" w:rsidRPr="004E263F" w:rsidRDefault="00ED3910" w:rsidP="00ED3910">
      <w:pPr>
        <w:keepNext/>
        <w:keepLines/>
        <w:spacing w:before="40" w:after="0"/>
        <w:outlineLvl w:val="2"/>
        <w:rPr>
          <w:rFonts w:asciiTheme="majorBidi" w:eastAsiaTheme="majorEastAsia" w:hAnsiTheme="majorBidi" w:cstheme="majorBidi"/>
          <w:b/>
          <w:bCs/>
          <w:i/>
          <w:iCs/>
          <w:sz w:val="24"/>
          <w:szCs w:val="24"/>
          <w:u w:val="single"/>
          <w:rtl/>
        </w:rPr>
      </w:pPr>
      <w:r w:rsidRPr="004E263F">
        <w:rPr>
          <w:rFonts w:asciiTheme="majorBidi" w:eastAsiaTheme="majorEastAsia" w:hAnsiTheme="majorBidi" w:cstheme="majorBidi"/>
          <w:b/>
          <w:bCs/>
          <w:i/>
          <w:iCs/>
          <w:sz w:val="24"/>
          <w:szCs w:val="24"/>
          <w:u w:val="single"/>
          <w:rtl/>
        </w:rPr>
        <w:t xml:space="preserve">כנות התביעה </w:t>
      </w:r>
    </w:p>
    <w:p w:rsidR="00ED3910" w:rsidRPr="004E263F" w:rsidRDefault="00ED3910" w:rsidP="00A91AEB">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הבדל נוסף בין הגישות, אף שאינו נובעת ישירות מההבדלים במהותה של תביעת שלו"ב, ה</w:t>
      </w:r>
      <w:r w:rsidR="00A91AEB">
        <w:rPr>
          <w:rFonts w:asciiTheme="majorBidi" w:hAnsiTheme="majorBidi" w:cstheme="majorBidi" w:hint="cs"/>
          <w:sz w:val="24"/>
          <w:szCs w:val="24"/>
          <w:rtl/>
        </w:rPr>
        <w:t>ו</w:t>
      </w:r>
      <w:r w:rsidRPr="004E263F">
        <w:rPr>
          <w:rFonts w:asciiTheme="majorBidi" w:hAnsiTheme="majorBidi" w:cstheme="majorBidi"/>
          <w:sz w:val="24"/>
          <w:szCs w:val="24"/>
          <w:rtl/>
        </w:rPr>
        <w:t>א המדדים שנוסחו בפסיקה הרווחת בבתי הדין המהווים את "האומדנא דמוכח" לכנותה של התביעה. מדדים אלו מציבים רף כמעט בלתי עביר עבור תביעות שלו"ב ונזכיר את העיקריים שבהם:</w:t>
      </w:r>
    </w:p>
    <w:p w:rsidR="00ED3910" w:rsidRPr="004E263F" w:rsidRDefault="00ED3910" w:rsidP="00ED3910">
      <w:pPr>
        <w:numPr>
          <w:ilvl w:val="0"/>
          <w:numId w:val="1"/>
        </w:numPr>
        <w:spacing w:after="0" w:line="360" w:lineRule="auto"/>
        <w:contextualSpacing/>
        <w:jc w:val="both"/>
        <w:rPr>
          <w:rFonts w:asciiTheme="majorBidi" w:hAnsiTheme="majorBidi" w:cstheme="majorBidi"/>
          <w:sz w:val="24"/>
          <w:szCs w:val="24"/>
        </w:rPr>
      </w:pPr>
      <w:r w:rsidRPr="004E263F">
        <w:rPr>
          <w:rFonts w:asciiTheme="majorBidi" w:hAnsiTheme="majorBidi" w:cstheme="majorBidi"/>
          <w:sz w:val="24"/>
          <w:szCs w:val="24"/>
          <w:rtl/>
        </w:rPr>
        <w:t>הצד המבקש שלו"ב צריך לחזר אחר הצד השני. ככל שדרישתו לשלו"ב מסתכמת בתביעה הרי שיש בכך ללמד על חוסר כנות.</w:t>
      </w:r>
    </w:p>
    <w:p w:rsidR="00ED3910" w:rsidRPr="004E263F" w:rsidRDefault="00ED3910" w:rsidP="00ED3910">
      <w:pPr>
        <w:numPr>
          <w:ilvl w:val="0"/>
          <w:numId w:val="1"/>
        </w:numPr>
        <w:spacing w:after="0" w:line="360" w:lineRule="auto"/>
        <w:contextualSpacing/>
        <w:jc w:val="both"/>
        <w:rPr>
          <w:rFonts w:asciiTheme="majorBidi" w:hAnsiTheme="majorBidi" w:cstheme="majorBidi"/>
          <w:sz w:val="24"/>
          <w:szCs w:val="24"/>
        </w:rPr>
      </w:pPr>
      <w:r w:rsidRPr="004E263F">
        <w:rPr>
          <w:rFonts w:asciiTheme="majorBidi" w:hAnsiTheme="majorBidi" w:cstheme="majorBidi"/>
          <w:sz w:val="24"/>
          <w:szCs w:val="24"/>
          <w:rtl/>
        </w:rPr>
        <w:t>הצד המבקש שלו"ב צריך לפנות לביה"ד מיד עם הופעת קרע ופירוד גם כאשר אין שום הליך משפטי ולא כתגובה לתביעות שהגיש הצד השני.</w:t>
      </w:r>
    </w:p>
    <w:p w:rsidR="00ED3910" w:rsidRPr="004E263F" w:rsidRDefault="00ED3910" w:rsidP="00ED3910">
      <w:pPr>
        <w:numPr>
          <w:ilvl w:val="0"/>
          <w:numId w:val="1"/>
        </w:numPr>
        <w:spacing w:after="0" w:line="360" w:lineRule="auto"/>
        <w:contextualSpacing/>
        <w:jc w:val="both"/>
        <w:rPr>
          <w:rFonts w:asciiTheme="majorBidi" w:hAnsiTheme="majorBidi" w:cstheme="majorBidi"/>
          <w:sz w:val="24"/>
          <w:szCs w:val="24"/>
        </w:rPr>
      </w:pPr>
      <w:r w:rsidRPr="004E263F">
        <w:rPr>
          <w:rFonts w:asciiTheme="majorBidi" w:hAnsiTheme="majorBidi" w:cstheme="majorBidi"/>
          <w:sz w:val="24"/>
          <w:szCs w:val="24"/>
          <w:rtl/>
        </w:rPr>
        <w:t>פיצול תביעות בין ערכאות מלמד על חוסר כנות.</w:t>
      </w:r>
    </w:p>
    <w:p w:rsidR="00ED3910" w:rsidRPr="004E263F" w:rsidRDefault="00ED3910" w:rsidP="00706422">
      <w:pPr>
        <w:numPr>
          <w:ilvl w:val="0"/>
          <w:numId w:val="1"/>
        </w:numPr>
        <w:spacing w:after="0" w:line="360" w:lineRule="auto"/>
        <w:contextualSpacing/>
        <w:jc w:val="both"/>
        <w:rPr>
          <w:rFonts w:asciiTheme="majorBidi" w:hAnsiTheme="majorBidi" w:cstheme="majorBidi"/>
          <w:sz w:val="24"/>
          <w:szCs w:val="24"/>
        </w:rPr>
      </w:pPr>
      <w:r w:rsidRPr="004E263F">
        <w:rPr>
          <w:rFonts w:asciiTheme="majorBidi" w:hAnsiTheme="majorBidi" w:cstheme="majorBidi"/>
          <w:sz w:val="24"/>
          <w:szCs w:val="24"/>
          <w:rtl/>
        </w:rPr>
        <w:t xml:space="preserve">כאשר צד אחד </w:t>
      </w:r>
      <w:r w:rsidR="00706422" w:rsidRPr="004E263F">
        <w:rPr>
          <w:rFonts w:asciiTheme="majorBidi" w:hAnsiTheme="majorBidi" w:cstheme="majorBidi"/>
          <w:sz w:val="24"/>
          <w:szCs w:val="24"/>
          <w:rtl/>
        </w:rPr>
        <w:t xml:space="preserve">מועל באמון של הצד השני </w:t>
      </w:r>
      <w:r w:rsidRPr="004E263F">
        <w:rPr>
          <w:rFonts w:asciiTheme="majorBidi" w:hAnsiTheme="majorBidi" w:cstheme="majorBidi"/>
          <w:sz w:val="24"/>
          <w:szCs w:val="24"/>
          <w:rtl/>
        </w:rPr>
        <w:t>זה מהווה אומדן שהצד הדורש שלו"ב, לא באמת חפץ בכך.</w:t>
      </w:r>
    </w:p>
    <w:p w:rsidR="00ED3910" w:rsidRPr="004E263F" w:rsidRDefault="00ED3910" w:rsidP="00ED3910">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 xml:space="preserve">כולם מודים שהתביעה צריכה להיות כנה וענין הכנות מסור לבית הדין לאור נסיבות המקרה. כך למשל כאשר הצד התובע שלו"ב מייצר סחבת בבירור טענתו או שמפרסם קלונו של הצד השני ברבים, הרי שיש בכך אינדיקציה שהוא לא מגיש את תביעתו בכנות ושהוא מעוניין בבית אך לא בשלום. </w:t>
      </w:r>
    </w:p>
    <w:p w:rsidR="00ED3910" w:rsidRPr="004E263F" w:rsidRDefault="00ED3910" w:rsidP="00ED3910">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הרב שפירא חולק על כל המדדים הנ"ל. הוא טוען שהעובדה שאדם לא פעל באופן אקטיבי לצורך שלו"ב, אין בו בכדי ללמד על חוסר כנות בתביעה שכן זה יכול לנבוע מגודל הפגיעה שהוא חש או מכך שהוא אדם שבאישיותו אינו יוזם.</w:t>
      </w:r>
    </w:p>
    <w:p w:rsidR="00ED3910" w:rsidRPr="004E263F" w:rsidRDefault="00ED3910" w:rsidP="00ED3910">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 xml:space="preserve">לדבריו, גם פניה שאינה </w:t>
      </w:r>
      <w:r w:rsidR="001D4DE0" w:rsidRPr="004E263F">
        <w:rPr>
          <w:rFonts w:asciiTheme="majorBidi" w:hAnsiTheme="majorBidi" w:cstheme="majorBidi" w:hint="cs"/>
          <w:sz w:val="24"/>
          <w:szCs w:val="24"/>
          <w:rtl/>
        </w:rPr>
        <w:t>מידית</w:t>
      </w:r>
      <w:r w:rsidRPr="004E263F">
        <w:rPr>
          <w:rFonts w:asciiTheme="majorBidi" w:hAnsiTheme="majorBidi" w:cstheme="majorBidi"/>
          <w:sz w:val="24"/>
          <w:szCs w:val="24"/>
          <w:rtl/>
        </w:rPr>
        <w:t xml:space="preserve"> עם הופעת הקרע אלא רק כתגובה לדרישות הצד השני, אין בה בכדי ללמד על חוסר כנות משום שעשיית שלו"ב בפועל אינה חלק ממהות התביעה וכל מטרתה היא קבלת סעדים משפטיים הנדרשים עקב מעשיו של הצד השני.</w:t>
      </w:r>
    </w:p>
    <w:p w:rsidR="00ED3910" w:rsidRPr="004E263F" w:rsidRDefault="00ED3910" w:rsidP="00A91AEB">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לד</w:t>
      </w:r>
      <w:r w:rsidR="008F4F1D" w:rsidRPr="004E263F">
        <w:rPr>
          <w:rFonts w:asciiTheme="majorBidi" w:hAnsiTheme="majorBidi" w:cstheme="majorBidi"/>
          <w:sz w:val="24"/>
          <w:szCs w:val="24"/>
          <w:rtl/>
        </w:rPr>
        <w:t>עת</w:t>
      </w:r>
      <w:r w:rsidRPr="004E263F">
        <w:rPr>
          <w:rFonts w:asciiTheme="majorBidi" w:hAnsiTheme="majorBidi" w:cstheme="majorBidi"/>
          <w:sz w:val="24"/>
          <w:szCs w:val="24"/>
          <w:rtl/>
        </w:rPr>
        <w:t xml:space="preserve"> הרב שפירא </w:t>
      </w:r>
      <w:r w:rsidR="008F4F1D" w:rsidRPr="004E263F">
        <w:rPr>
          <w:rFonts w:asciiTheme="majorBidi" w:hAnsiTheme="majorBidi" w:cstheme="majorBidi"/>
          <w:sz w:val="24"/>
          <w:szCs w:val="24"/>
          <w:rtl/>
        </w:rPr>
        <w:t xml:space="preserve">שליט"א </w:t>
      </w:r>
      <w:r w:rsidRPr="004E263F">
        <w:rPr>
          <w:rFonts w:asciiTheme="majorBidi" w:hAnsiTheme="majorBidi" w:cstheme="majorBidi"/>
          <w:sz w:val="24"/>
          <w:szCs w:val="24"/>
          <w:rtl/>
        </w:rPr>
        <w:t>גם פיצול התביעות בין הערכאות אינו מלמד על חוסר כנות, שכן זכותו של צד לפנות לערכאה שבה להבנתו, יגנו על זכויותיו בצורה הטובה ביותר אפילו אם הוא טועה בחישוביו.</w:t>
      </w:r>
    </w:p>
    <w:p w:rsidR="008F4F1D" w:rsidRPr="004E263F" w:rsidRDefault="008F4F1D" w:rsidP="008F4F1D">
      <w:pPr>
        <w:spacing w:after="0" w:line="360" w:lineRule="auto"/>
        <w:jc w:val="both"/>
        <w:rPr>
          <w:rFonts w:asciiTheme="majorBidi" w:hAnsiTheme="majorBidi" w:cstheme="majorBidi"/>
          <w:sz w:val="24"/>
          <w:szCs w:val="24"/>
          <w:rtl/>
        </w:rPr>
      </w:pPr>
    </w:p>
    <w:p w:rsidR="00ED3910" w:rsidRPr="004E263F" w:rsidRDefault="00ED3910" w:rsidP="00ED3910">
      <w:pPr>
        <w:spacing w:after="0" w:line="360" w:lineRule="auto"/>
        <w:jc w:val="both"/>
        <w:rPr>
          <w:rFonts w:asciiTheme="majorBidi" w:hAnsiTheme="majorBidi" w:cstheme="majorBidi"/>
          <w:b/>
          <w:bCs/>
          <w:sz w:val="24"/>
          <w:szCs w:val="24"/>
          <w:u w:val="single"/>
          <w:rtl/>
        </w:rPr>
      </w:pPr>
      <w:r w:rsidRPr="004E263F">
        <w:rPr>
          <w:rFonts w:asciiTheme="majorBidi" w:hAnsiTheme="majorBidi" w:cstheme="majorBidi"/>
          <w:b/>
          <w:bCs/>
          <w:sz w:val="24"/>
          <w:szCs w:val="24"/>
          <w:u w:val="single"/>
          <w:rtl/>
        </w:rPr>
        <w:t>סיכום</w:t>
      </w:r>
    </w:p>
    <w:p w:rsidR="00ED3910" w:rsidRPr="004E263F" w:rsidRDefault="00ED3910" w:rsidP="006F642D">
      <w:pPr>
        <w:spacing w:after="0" w:line="360" w:lineRule="auto"/>
        <w:jc w:val="both"/>
        <w:rPr>
          <w:rFonts w:asciiTheme="majorBidi" w:hAnsiTheme="majorBidi" w:cstheme="majorBidi"/>
          <w:sz w:val="24"/>
          <w:szCs w:val="24"/>
          <w:rtl/>
        </w:rPr>
      </w:pPr>
      <w:r w:rsidRPr="004E263F">
        <w:rPr>
          <w:rFonts w:asciiTheme="majorBidi" w:hAnsiTheme="majorBidi" w:cstheme="majorBidi"/>
          <w:sz w:val="24"/>
          <w:szCs w:val="24"/>
          <w:rtl/>
        </w:rPr>
        <w:t>ב</w:t>
      </w:r>
      <w:r w:rsidR="006F642D" w:rsidRPr="004E263F">
        <w:rPr>
          <w:rFonts w:asciiTheme="majorBidi" w:hAnsiTheme="majorBidi" w:cstheme="majorBidi"/>
          <w:sz w:val="24"/>
          <w:szCs w:val="24"/>
          <w:rtl/>
        </w:rPr>
        <w:t>שני ה</w:t>
      </w:r>
      <w:r w:rsidRPr="004E263F">
        <w:rPr>
          <w:rFonts w:asciiTheme="majorBidi" w:hAnsiTheme="majorBidi" w:cstheme="majorBidi"/>
          <w:sz w:val="24"/>
          <w:szCs w:val="24"/>
          <w:rtl/>
        </w:rPr>
        <w:t>מאמר</w:t>
      </w:r>
      <w:r w:rsidR="006F642D" w:rsidRPr="004E263F">
        <w:rPr>
          <w:rFonts w:asciiTheme="majorBidi" w:hAnsiTheme="majorBidi" w:cstheme="majorBidi"/>
          <w:sz w:val="24"/>
          <w:szCs w:val="24"/>
          <w:rtl/>
        </w:rPr>
        <w:t xml:space="preserve">ים </w:t>
      </w:r>
      <w:r w:rsidRPr="004E263F">
        <w:rPr>
          <w:rFonts w:asciiTheme="majorBidi" w:hAnsiTheme="majorBidi" w:cstheme="majorBidi"/>
          <w:sz w:val="24"/>
          <w:szCs w:val="24"/>
          <w:rtl/>
        </w:rPr>
        <w:t>הצגנו שתי גישות בתביעת שלו"ב. האחת היא הגישה הרווחת ברוב בתי הדין הקובעת ששלו"ב היא תביעה מעשית ועליה להיות כנה וישימה. מהותה של גישה זו בנוסף לאינדיקציות שנקבעו בפסיקה יצרו רף כמעט בלתי עביר לתביעות מסוג זה</w:t>
      </w:r>
      <w:r w:rsidR="006F642D" w:rsidRPr="004E263F">
        <w:rPr>
          <w:rFonts w:asciiTheme="majorBidi" w:hAnsiTheme="majorBidi" w:cstheme="majorBidi"/>
          <w:sz w:val="24"/>
          <w:szCs w:val="24"/>
          <w:rtl/>
        </w:rPr>
        <w:t xml:space="preserve">. </w:t>
      </w:r>
      <w:r w:rsidRPr="004E263F">
        <w:rPr>
          <w:rFonts w:asciiTheme="majorBidi" w:hAnsiTheme="majorBidi" w:cstheme="majorBidi"/>
          <w:sz w:val="24"/>
          <w:szCs w:val="24"/>
          <w:rtl/>
        </w:rPr>
        <w:t>בניגוד לגישה זו, ראינו את גישתו של הרב שפירא,</w:t>
      </w:r>
      <w:r w:rsidR="006F642D" w:rsidRPr="004E263F">
        <w:rPr>
          <w:rFonts w:asciiTheme="majorBidi" w:hAnsiTheme="majorBidi" w:cstheme="majorBidi"/>
          <w:sz w:val="24"/>
          <w:szCs w:val="24"/>
          <w:rtl/>
        </w:rPr>
        <w:t xml:space="preserve"> שלהבנתנו משמר בגישתו</w:t>
      </w:r>
      <w:r w:rsidRPr="004E263F">
        <w:rPr>
          <w:rFonts w:asciiTheme="majorBidi" w:hAnsiTheme="majorBidi" w:cstheme="majorBidi"/>
          <w:sz w:val="24"/>
          <w:szCs w:val="24"/>
          <w:rtl/>
        </w:rPr>
        <w:t xml:space="preserve"> את הגישה המסורתית של בתי הדין בנוגע לשלו"ב.</w:t>
      </w:r>
    </w:p>
    <w:p w:rsidR="00ED3910" w:rsidRPr="004E263F" w:rsidRDefault="00ED3910" w:rsidP="00ED3910">
      <w:pPr>
        <w:spacing w:after="0" w:line="360" w:lineRule="auto"/>
        <w:jc w:val="both"/>
        <w:rPr>
          <w:rFonts w:asciiTheme="majorBidi" w:hAnsiTheme="majorBidi" w:cstheme="majorBidi"/>
          <w:sz w:val="24"/>
          <w:szCs w:val="24"/>
          <w:rtl/>
        </w:rPr>
      </w:pPr>
    </w:p>
    <w:p w:rsidR="00ED3910" w:rsidRPr="004E263F" w:rsidRDefault="00ED3910" w:rsidP="00ED3910">
      <w:pPr>
        <w:jc w:val="both"/>
        <w:rPr>
          <w:rFonts w:asciiTheme="majorBidi" w:eastAsia="Calibri" w:hAnsiTheme="majorBidi" w:cstheme="majorBidi"/>
          <w:sz w:val="24"/>
          <w:szCs w:val="24"/>
        </w:rPr>
      </w:pPr>
      <w:r w:rsidRPr="004E263F">
        <w:rPr>
          <w:rFonts w:asciiTheme="majorBidi" w:eastAsia="Times New Roman" w:hAnsiTheme="majorBidi" w:cstheme="majorBidi"/>
          <w:noProof/>
          <w:sz w:val="24"/>
          <w:szCs w:val="24"/>
          <w:rtl/>
          <w:lang w:eastAsia="he-IL"/>
        </w:rPr>
        <w:t>לתשומת ליבכם, מאמרים אלו אינם מהווים תחליף לייעוץ משפטי, אינם מהווים חוות דעת משפטית, ואין אחריות למסתמך עליהם. בהחלט יתכן שעובדות או הלכות משפטיות שונות ישנו את האמור בהם. בנסיבות כל מקרה ספציפי חובה להתייעץ עם טוען רבני מומחה טרם נקיטת כל צעד בעל משמעות משפטית. כמו כן המחבר אינו לוקח על עצמו לעדכן מי מהמאמרים המופיעים ויש לבדוק כל עניין לנסיבותיו במועד הרלוונטי.  ליעוץ ניתן לפנות - טו"ר ועו"ד צבי גלר,  050-7664874</w:t>
      </w:r>
      <w:r w:rsidRPr="004E263F">
        <w:rPr>
          <w:rFonts w:asciiTheme="majorBidi" w:eastAsia="Calibri" w:hAnsiTheme="majorBidi" w:cstheme="majorBidi"/>
          <w:sz w:val="24"/>
          <w:szCs w:val="24"/>
          <w:rtl/>
        </w:rPr>
        <w:t xml:space="preserve"> טו"ר הרב נדב טייכמן 0528371250</w:t>
      </w:r>
    </w:p>
    <w:p w:rsidR="00ED3910" w:rsidRPr="004E263F" w:rsidRDefault="00ED3910" w:rsidP="00ED3910">
      <w:pPr>
        <w:spacing w:after="0" w:line="360" w:lineRule="auto"/>
        <w:jc w:val="both"/>
        <w:rPr>
          <w:rFonts w:asciiTheme="majorBidi" w:hAnsiTheme="majorBidi" w:cstheme="majorBidi"/>
          <w:sz w:val="24"/>
          <w:szCs w:val="24"/>
        </w:rPr>
      </w:pPr>
    </w:p>
    <w:p w:rsidR="00C16B48" w:rsidRPr="004E263F" w:rsidRDefault="00C16B48">
      <w:pPr>
        <w:rPr>
          <w:rFonts w:asciiTheme="majorBidi" w:hAnsiTheme="majorBidi" w:cstheme="majorBidi"/>
          <w:sz w:val="24"/>
          <w:szCs w:val="24"/>
        </w:rPr>
      </w:pPr>
    </w:p>
    <w:sectPr w:rsidR="00C16B48" w:rsidRPr="004E263F" w:rsidSect="00D06EC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E8" w:rsidRDefault="000772E8" w:rsidP="00CC45A4">
      <w:pPr>
        <w:spacing w:after="0" w:line="240" w:lineRule="auto"/>
      </w:pPr>
      <w:r>
        <w:separator/>
      </w:r>
    </w:p>
  </w:endnote>
  <w:endnote w:type="continuationSeparator" w:id="0">
    <w:p w:rsidR="000772E8" w:rsidRDefault="000772E8" w:rsidP="00CC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1823549"/>
      <w:docPartObj>
        <w:docPartGallery w:val="Page Numbers (Bottom of Page)"/>
        <w:docPartUnique/>
      </w:docPartObj>
    </w:sdtPr>
    <w:sdtEndPr/>
    <w:sdtContent>
      <w:p w:rsidR="00CC45A4" w:rsidRDefault="00CC45A4">
        <w:pPr>
          <w:pStyle w:val="a7"/>
          <w:jc w:val="center"/>
          <w:rPr>
            <w:rtl/>
          </w:rPr>
        </w:pPr>
        <w:r>
          <w:fldChar w:fldCharType="begin"/>
        </w:r>
        <w:r>
          <w:rPr>
            <w:rtl/>
            <w:cs/>
          </w:rPr>
          <w:instrText>PAGE   \* MERGEFORMAT</w:instrText>
        </w:r>
        <w:r>
          <w:fldChar w:fldCharType="separate"/>
        </w:r>
        <w:r w:rsidR="00660DC5" w:rsidRPr="00660DC5">
          <w:rPr>
            <w:noProof/>
            <w:rtl/>
            <w:lang w:val="he-IL"/>
          </w:rPr>
          <w:t>2</w:t>
        </w:r>
        <w:r>
          <w:fldChar w:fldCharType="end"/>
        </w:r>
      </w:p>
    </w:sdtContent>
  </w:sdt>
  <w:p w:rsidR="00CC45A4" w:rsidRDefault="00CC45A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E8" w:rsidRDefault="000772E8" w:rsidP="00CC45A4">
      <w:pPr>
        <w:spacing w:after="0" w:line="240" w:lineRule="auto"/>
      </w:pPr>
      <w:r>
        <w:separator/>
      </w:r>
    </w:p>
  </w:footnote>
  <w:footnote w:type="continuationSeparator" w:id="0">
    <w:p w:rsidR="000772E8" w:rsidRDefault="000772E8" w:rsidP="00CC4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A1077"/>
    <w:multiLevelType w:val="hybridMultilevel"/>
    <w:tmpl w:val="F9A28332"/>
    <w:lvl w:ilvl="0" w:tplc="D52A3B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10"/>
    <w:rsid w:val="000772E8"/>
    <w:rsid w:val="00153262"/>
    <w:rsid w:val="00192C4D"/>
    <w:rsid w:val="001D4DE0"/>
    <w:rsid w:val="002F6A5C"/>
    <w:rsid w:val="00435550"/>
    <w:rsid w:val="004E263F"/>
    <w:rsid w:val="00512359"/>
    <w:rsid w:val="00516693"/>
    <w:rsid w:val="005C2750"/>
    <w:rsid w:val="00660DC5"/>
    <w:rsid w:val="006F642D"/>
    <w:rsid w:val="00706422"/>
    <w:rsid w:val="00791B97"/>
    <w:rsid w:val="008F4F1D"/>
    <w:rsid w:val="00A91AEB"/>
    <w:rsid w:val="00C16B48"/>
    <w:rsid w:val="00CC45A4"/>
    <w:rsid w:val="00D06EC9"/>
    <w:rsid w:val="00ED3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C2199-E3ED-4470-BEA8-EB3A12A6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
    <w:name w:val="default"/>
    <w:rsid w:val="00ED3910"/>
    <w:rPr>
      <w:rFonts w:ascii="Times New Roman" w:hAnsi="Times New Roman" w:cs="Times New Roman"/>
      <w:sz w:val="26"/>
      <w:szCs w:val="26"/>
    </w:rPr>
  </w:style>
  <w:style w:type="paragraph" w:styleId="a3">
    <w:name w:val="Balloon Text"/>
    <w:basedOn w:val="a"/>
    <w:link w:val="a4"/>
    <w:uiPriority w:val="99"/>
    <w:semiHidden/>
    <w:unhideWhenUsed/>
    <w:rsid w:val="00CC45A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C45A4"/>
    <w:rPr>
      <w:rFonts w:ascii="Tahoma" w:hAnsi="Tahoma" w:cs="Tahoma"/>
      <w:sz w:val="16"/>
      <w:szCs w:val="16"/>
    </w:rPr>
  </w:style>
  <w:style w:type="paragraph" w:styleId="a5">
    <w:name w:val="header"/>
    <w:basedOn w:val="a"/>
    <w:link w:val="a6"/>
    <w:uiPriority w:val="99"/>
    <w:unhideWhenUsed/>
    <w:rsid w:val="00CC45A4"/>
    <w:pPr>
      <w:tabs>
        <w:tab w:val="center" w:pos="4153"/>
        <w:tab w:val="right" w:pos="8306"/>
      </w:tabs>
      <w:spacing w:after="0" w:line="240" w:lineRule="auto"/>
    </w:pPr>
  </w:style>
  <w:style w:type="character" w:customStyle="1" w:styleId="a6">
    <w:name w:val="כותרת עליונה תו"/>
    <w:basedOn w:val="a0"/>
    <w:link w:val="a5"/>
    <w:uiPriority w:val="99"/>
    <w:rsid w:val="00CC45A4"/>
  </w:style>
  <w:style w:type="paragraph" w:styleId="a7">
    <w:name w:val="footer"/>
    <w:basedOn w:val="a"/>
    <w:link w:val="a8"/>
    <w:uiPriority w:val="99"/>
    <w:unhideWhenUsed/>
    <w:rsid w:val="00CC45A4"/>
    <w:pPr>
      <w:tabs>
        <w:tab w:val="center" w:pos="4153"/>
        <w:tab w:val="right" w:pos="8306"/>
      </w:tabs>
      <w:spacing w:after="0" w:line="240" w:lineRule="auto"/>
    </w:pPr>
  </w:style>
  <w:style w:type="character" w:customStyle="1" w:styleId="a8">
    <w:name w:val="כותרת תחתונה תו"/>
    <w:basedOn w:val="a0"/>
    <w:link w:val="a7"/>
    <w:uiPriority w:val="99"/>
    <w:rsid w:val="00CC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3810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נדב טייכמן</dc:creator>
  <cp:lastModifiedBy>Me</cp:lastModifiedBy>
  <cp:revision>2</cp:revision>
  <dcterms:created xsi:type="dcterms:W3CDTF">2023-01-12T07:28:00Z</dcterms:created>
  <dcterms:modified xsi:type="dcterms:W3CDTF">2023-01-12T07:28:00Z</dcterms:modified>
</cp:coreProperties>
</file>